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pPr>
      <w:r>
        <w:rPr>
          <w:b/>
          <w:color w:val="6F0D0D"/>
          <w:sz w:val="18"/>
        </w:rPr>
        <w:t>CALIFORNIA ALPR COMPLIANCE</w:t>
      </w:r>
    </w:p>
    <w:p>
      <w:pPr>
        <w:pStyle w:val="Normal"/>
        <w:jc w:val="start"/>
        <w:rPr/>
      </w:pPr>
      <w:r>
        <w:rPr>
          <w:b/>
          <w:color w:val="2D2D2D"/>
          <w:sz w:val="44"/>
        </w:rPr>
        <w:t>CALIFORNIA ALPR USAGE, PRIVACY &amp; COMPLIANCE POLICY</w:t>
      </w:r>
    </w:p>
    <w:p>
      <w:pPr>
        <w:pStyle w:val="Normal"/>
        <w:spacing w:before="0" w:after="140"/>
        <w:jc w:val="start"/>
        <w:rPr/>
      </w:pPr>
      <w:r>
        <w:rPr>
          <w:color w:val="777777"/>
          <w:sz w:val="21"/>
        </w:rPr>
        <w:t>Public Policy</w:t>
      </w:r>
    </w:p>
    <w:tbl>
      <w:tblPr>
        <w:tblW w:w="7488" w:type="dxa"/>
        <w:jc w:val="start"/>
        <w:tblInd w:w="101" w:type="dxa"/>
        <w:tblLayout w:type="fixed"/>
        <w:tblCellMar>
          <w:top w:w="0" w:type="dxa"/>
          <w:start w:w="108" w:type="dxa"/>
          <w:bottom w:w="0" w:type="dxa"/>
          <w:end w:w="108" w:type="dxa"/>
        </w:tblCellMar>
      </w:tblPr>
      <w:tblGrid>
        <w:gridCol w:w="7488"/>
      </w:tblGrid>
      <w:tr>
        <w:trPr/>
        <w:tc>
          <w:tcPr>
            <w:tcW w:w="7488" w:type="dxa"/>
            <w:tcBorders>
              <w:top w:val="single" w:sz="6" w:space="0" w:color="6F0D0D"/>
              <w:start w:val="single" w:sz="6" w:space="0" w:color="6F0D0D"/>
              <w:bottom w:val="single" w:sz="6" w:space="0" w:color="6F0D0D"/>
              <w:end w:val="single" w:sz="6" w:space="0" w:color="6F0D0D"/>
            </w:tcBorders>
            <w:shd w:fill="6F0D0D" w:val="clear"/>
          </w:tcPr>
          <w:p>
            <w:pPr>
              <w:pStyle w:val="Normal"/>
              <w:spacing w:before="0" w:after="100"/>
              <w:jc w:val="start"/>
              <w:rPr/>
            </w:pPr>
            <w:r>
              <w:rPr>
                <w:b/>
                <w:color w:val="FFFFFF"/>
                <w:sz w:val="18"/>
              </w:rPr>
              <w:t>DOCUMENT CONTROL</w:t>
            </w:r>
          </w:p>
        </w:tc>
      </w:tr>
    </w:tbl>
    <w:tbl>
      <w:tblPr>
        <w:tblStyle w:val="TableGrid"/>
        <w:tblW w:w="993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4968"/>
        <w:gridCol w:w="4968"/>
      </w:tblGrid>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Version</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val="false"/>
                <w:color w:val="2D2D2D"/>
                <w:kern w:val="0"/>
                <w:sz w:val="18"/>
                <w:szCs w:val="22"/>
                <w:lang w:val="en-US" w:eastAsia="en-US" w:bidi="ar-SA"/>
              </w:rPr>
              <w:t>1.0</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Effective Date</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ascii="Arial" w:hAnsi="Arial"/>
                <w:b w:val="false"/>
                <w:color w:val="2D2D2D"/>
                <w:sz w:val="18"/>
              </w:rPr>
            </w:pPr>
            <w:r>
              <w:rPr>
                <w:b w:val="false"/>
                <w:color w:val="2D2D2D"/>
                <w:sz w:val="18"/>
              </w:rPr>
              <w:t>9-14-2026</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Review Date</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ascii="Arial" w:hAnsi="Arial"/>
                <w:b w:val="false"/>
                <w:color w:val="2D2D2D"/>
                <w:sz w:val="18"/>
              </w:rPr>
            </w:pPr>
            <w:r>
              <w:rPr>
                <w:b w:val="false"/>
                <w:color w:val="2D2D2D"/>
                <w:sz w:val="18"/>
              </w:rPr>
              <w:t>9-14-2027</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Policy Contact</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ascii="Arial" w:hAnsi="Arial"/>
                <w:b w:val="false"/>
                <w:color w:val="2D2D2D"/>
                <w:sz w:val="18"/>
              </w:rPr>
            </w:pPr>
            <w:r>
              <w:rPr>
                <w:b w:val="false"/>
                <w:color w:val="2D2D2D"/>
                <w:sz w:val="18"/>
              </w:rPr>
              <w:t>Luis Morales</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Title</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ascii="Arial" w:hAnsi="Arial"/>
                <w:b w:val="false"/>
                <w:color w:val="2D2D2D"/>
                <w:sz w:val="18"/>
              </w:rPr>
            </w:pPr>
            <w:r>
              <w:rPr>
                <w:b w:val="false"/>
                <w:color w:val="2D2D2D"/>
                <w:sz w:val="18"/>
              </w:rPr>
              <w:t>Compliance Manager</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Address</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bidi w:val="0"/>
              <w:spacing w:before="0" w:after="100"/>
              <w:jc w:val="start"/>
              <w:rPr>
                <w:rFonts w:ascii="Arial" w:hAnsi="Arial"/>
                <w:b w:val="false"/>
                <w:color w:val="2D2D2D"/>
                <w:sz w:val="18"/>
              </w:rPr>
            </w:pPr>
            <w:r>
              <w:rPr>
                <w:b w:val="false"/>
                <w:color w:val="2D2D2D"/>
                <w:sz w:val="18"/>
              </w:rPr>
              <w:t>5235 Mission Oaks Blvd #544</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Phone</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spacing w:before="0" w:after="100"/>
              <w:jc w:val="start"/>
              <w:rPr>
                <w:rFonts w:ascii="Arial" w:hAnsi="Arial"/>
                <w:b w:val="false"/>
                <w:color w:val="2D2D2D"/>
                <w:sz w:val="18"/>
              </w:rPr>
            </w:pPr>
            <w:r>
              <w:rPr>
                <w:b w:val="false"/>
                <w:color w:val="2D2D2D"/>
                <w:sz w:val="18"/>
              </w:rPr>
              <w:t>805-233-4350</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Email</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bidi w:val="0"/>
              <w:spacing w:before="0" w:after="100"/>
              <w:jc w:val="start"/>
              <w:rPr>
                <w:rFonts w:ascii="Arial" w:hAnsi="Arial"/>
                <w:b w:val="false"/>
                <w:color w:val="2D2D2D"/>
                <w:sz w:val="18"/>
              </w:rPr>
            </w:pPr>
            <w:r>
              <w:rPr>
                <w:b w:val="false"/>
                <w:color w:val="2D2D2D"/>
                <w:sz w:val="18"/>
              </w:rPr>
              <w:t>Luis@Lightningrecoveryinc.com</w:t>
            </w:r>
          </w:p>
        </w:tc>
      </w:tr>
      <w:tr>
        <w:trPr/>
        <w:tc>
          <w:tcPr>
            <w:tcW w:w="4968" w:type="dxa"/>
            <w:tcBorders>
              <w:top w:val="single" w:sz="4" w:space="0" w:color="D5D5D5"/>
              <w:start w:val="single" w:sz="4" w:space="0" w:color="D5D5D5"/>
              <w:bottom w:val="single" w:sz="4" w:space="0" w:color="D5D5D5"/>
              <w:end w:val="single" w:sz="4" w:space="0" w:color="D5D5D5"/>
            </w:tcBorders>
            <w:shd w:fill="F2F2F2" w:val="clear"/>
            <w:vAlign w:val="center"/>
          </w:tcPr>
          <w:p>
            <w:pPr>
              <w:pStyle w:val="Normal"/>
              <w:widowControl/>
              <w:suppressAutoHyphens w:val="true"/>
              <w:spacing w:before="0" w:after="100"/>
              <w:jc w:val="start"/>
              <w:rPr>
                <w:rFonts w:eastAsia="ＭＳ 明朝" w:cs=""/>
                <w:kern w:val="0"/>
                <w:szCs w:val="22"/>
                <w:lang w:val="en-US" w:eastAsia="en-US" w:bidi="ar-SA"/>
              </w:rPr>
            </w:pPr>
            <w:r>
              <w:rPr>
                <w:rFonts w:eastAsia="ＭＳ 明朝" w:cs=""/>
                <w:b/>
                <w:color w:val="2D2D2D"/>
                <w:kern w:val="0"/>
                <w:sz w:val="18"/>
                <w:szCs w:val="22"/>
                <w:lang w:val="en-US" w:eastAsia="en-US" w:bidi="ar-SA"/>
              </w:rPr>
              <w:t>Website</w:t>
            </w:r>
          </w:p>
        </w:tc>
        <w:tc>
          <w:tcPr>
            <w:tcW w:w="4968" w:type="dxa"/>
            <w:tcBorders>
              <w:top w:val="single" w:sz="4" w:space="0" w:color="D5D5D5"/>
              <w:start w:val="single" w:sz="4" w:space="0" w:color="D5D5D5"/>
              <w:bottom w:val="single" w:sz="4" w:space="0" w:color="D5D5D5"/>
              <w:end w:val="single" w:sz="4" w:space="0" w:color="D5D5D5"/>
            </w:tcBorders>
            <w:vAlign w:val="center"/>
          </w:tcPr>
          <w:p>
            <w:pPr>
              <w:pStyle w:val="Normal"/>
              <w:widowControl/>
              <w:suppressAutoHyphens w:val="true"/>
              <w:bidi w:val="0"/>
              <w:spacing w:before="0" w:after="100"/>
              <w:jc w:val="start"/>
              <w:rPr>
                <w:rFonts w:ascii="Arial" w:hAnsi="Arial"/>
                <w:b w:val="false"/>
                <w:color w:val="2D2D2D"/>
                <w:sz w:val="18"/>
              </w:rPr>
            </w:pPr>
            <w:r>
              <w:rPr>
                <w:b w:val="false"/>
                <w:color w:val="2D2D2D"/>
                <w:sz w:val="18"/>
              </w:rPr>
              <w:t>https://lrirepo.com/</w:t>
            </w:r>
          </w:p>
        </w:tc>
      </w:tr>
    </w:tbl>
    <w:p>
      <w:pPr>
        <w:pStyle w:val="Heading1"/>
        <w:keepNext w:val="true"/>
        <w:spacing w:before="180" w:after="80"/>
        <w:jc w:val="start"/>
        <w:rPr/>
      </w:pPr>
      <w:r>
        <w:rPr>
          <w:rFonts w:ascii="Arial" w:hAnsi="Arial"/>
          <w:b/>
          <w:color w:val="6F0D0D"/>
          <w:sz w:val="25"/>
        </w:rPr>
        <w:t>01  PURPOSE</w:t>
      </w:r>
    </w:p>
    <w:p>
      <w:pPr>
        <w:pStyle w:val="Normal"/>
        <w:rPr/>
      </w:pPr>
      <w:r>
        <w:rPr/>
        <w:t>Lightning Recovery, Inc recognizes that Automated License Plate Recognition ("ALPR") technology can provide useful investigative information while also creating legitimate privacy and civil-liberties considerations.</w:t>
      </w:r>
    </w:p>
    <w:p>
      <w:pPr>
        <w:pStyle w:val="Normal"/>
        <w:rPr/>
      </w:pPr>
      <w:r>
        <w:rPr/>
        <w:t>This California ALPR Usage, Privacy &amp; Compliance Policy establishes the rules and procedures governing the collection, access, use, maintenance, sharing, disclosure, retention, security, and destruction of ALPR information by Lightning Recovery, Inc.</w:t>
      </w:r>
    </w:p>
    <w:p>
      <w:pPr>
        <w:pStyle w:val="ListBullet"/>
        <w:numPr>
          <w:ilvl w:val="0"/>
          <w:numId w:val="1"/>
        </w:numPr>
        <w:spacing w:before="0" w:after="60"/>
        <w:ind w:hanging="173" w:start="259"/>
        <w:contextualSpacing/>
        <w:rPr/>
      </w:pPr>
      <w:r>
        <w:rPr/>
        <w:t>Define the authorized purposes for which Lightning Recovery, Inc may collect, access, or use ALPR information;</w:t>
      </w:r>
    </w:p>
    <w:p>
      <w:pPr>
        <w:pStyle w:val="ListBullet"/>
        <w:numPr>
          <w:ilvl w:val="0"/>
          <w:numId w:val="1"/>
        </w:numPr>
        <w:spacing w:before="0" w:after="60"/>
        <w:ind w:hanging="173" w:start="259"/>
        <w:contextualSpacing/>
        <w:rPr/>
      </w:pPr>
      <w:r>
        <w:rPr/>
        <w:t>Establish who may access or use ALPR systems and information;</w:t>
      </w:r>
    </w:p>
    <w:p>
      <w:pPr>
        <w:pStyle w:val="ListBullet"/>
        <w:numPr>
          <w:ilvl w:val="0"/>
          <w:numId w:val="1"/>
        </w:numPr>
        <w:spacing w:before="0" w:after="60"/>
        <w:ind w:hanging="173" w:start="259"/>
        <w:contextualSpacing/>
        <w:rPr/>
      </w:pPr>
      <w:r>
        <w:rPr/>
        <w:t>Establish training and accountability requirements;</w:t>
      </w:r>
    </w:p>
    <w:p>
      <w:pPr>
        <w:pStyle w:val="ListBullet"/>
        <w:numPr>
          <w:ilvl w:val="0"/>
          <w:numId w:val="1"/>
        </w:numPr>
        <w:spacing w:before="0" w:after="60"/>
        <w:ind w:hanging="173" w:start="259"/>
        <w:contextualSpacing/>
        <w:rPr/>
      </w:pPr>
      <w:r>
        <w:rPr/>
        <w:t>Protect ALPR information through reasonable administrative, technical, operational, and physical safeguards;</w:t>
      </w:r>
    </w:p>
    <w:p>
      <w:pPr>
        <w:pStyle w:val="ListBullet"/>
        <w:numPr>
          <w:ilvl w:val="0"/>
          <w:numId w:val="1"/>
        </w:numPr>
        <w:spacing w:before="0" w:after="60"/>
        <w:ind w:hanging="173" w:start="259"/>
        <w:contextualSpacing/>
        <w:rPr/>
      </w:pPr>
      <w:r>
        <w:rPr/>
        <w:t>Establish procedures for monitoring and auditing ALPR access and use;</w:t>
      </w:r>
    </w:p>
    <w:p>
      <w:pPr>
        <w:pStyle w:val="ListBullet"/>
        <w:numPr>
          <w:ilvl w:val="0"/>
          <w:numId w:val="1"/>
        </w:numPr>
        <w:spacing w:before="0" w:after="60"/>
        <w:ind w:hanging="173" w:start="259"/>
        <w:contextualSpacing/>
        <w:rPr/>
      </w:pPr>
      <w:r>
        <w:rPr/>
        <w:t>Establish procedures for addressing inaccurate or erroneous ALPR information;</w:t>
      </w:r>
    </w:p>
    <w:p>
      <w:pPr>
        <w:pStyle w:val="ListBullet"/>
        <w:numPr>
          <w:ilvl w:val="0"/>
          <w:numId w:val="1"/>
        </w:numPr>
        <w:spacing w:before="0" w:after="60"/>
        <w:ind w:hanging="173" w:start="259"/>
        <w:contextualSpacing/>
        <w:rPr/>
      </w:pPr>
      <w:r>
        <w:rPr/>
        <w:t>Establish restrictions governing disclosure, sharing, transfer, and other use of ALPR information;</w:t>
      </w:r>
    </w:p>
    <w:p>
      <w:pPr>
        <w:pStyle w:val="ListBullet"/>
        <w:numPr>
          <w:ilvl w:val="0"/>
          <w:numId w:val="1"/>
        </w:numPr>
        <w:spacing w:before="0" w:after="60"/>
        <w:ind w:hanging="173" w:start="259"/>
        <w:contextualSpacing/>
        <w:rPr/>
      </w:pPr>
      <w:r>
        <w:rPr/>
        <w:t>Establish retention and destruction requirements;</w:t>
      </w:r>
    </w:p>
    <w:p>
      <w:pPr>
        <w:pStyle w:val="ListBullet"/>
        <w:numPr>
          <w:ilvl w:val="0"/>
          <w:numId w:val="1"/>
        </w:numPr>
        <w:spacing w:before="0" w:after="60"/>
        <w:ind w:hanging="173" w:start="259"/>
        <w:contextualSpacing/>
        <w:rPr/>
      </w:pPr>
      <w:r>
        <w:rPr/>
        <w:t>Establish expectations for third-party ALPR service providers;</w:t>
      </w:r>
    </w:p>
    <w:p>
      <w:pPr>
        <w:pStyle w:val="ListBullet"/>
        <w:numPr>
          <w:ilvl w:val="0"/>
          <w:numId w:val="1"/>
        </w:numPr>
        <w:spacing w:before="0" w:after="60"/>
        <w:ind w:hanging="173" w:start="259"/>
        <w:contextualSpacing/>
        <w:rPr/>
      </w:pPr>
      <w:r>
        <w:rPr/>
        <w:t>Provide a process for addressing suspected unauthorized access, use, disclosure, or security incidents; and</w:t>
      </w:r>
    </w:p>
    <w:p>
      <w:pPr>
        <w:pStyle w:val="ListBullet"/>
        <w:numPr>
          <w:ilvl w:val="0"/>
          <w:numId w:val="1"/>
        </w:numPr>
        <w:spacing w:before="0" w:after="60"/>
        <w:ind w:hanging="173" w:start="259"/>
        <w:contextualSpacing/>
        <w:rPr/>
      </w:pPr>
      <w:r>
        <w:rPr/>
        <w:t>Support compliance with applicable California law, including California Civil Code §§ 1798.90.5–1798.90.55.</w:t>
      </w:r>
    </w:p>
    <w:p>
      <w:pPr>
        <w:pStyle w:val="Normal"/>
        <w:rPr/>
      </w:pPr>
      <w:r>
        <w:rPr/>
        <w:t>This policy applies to Lightning Recovery, Inc when acting as an ALPR operator, an ALPR end-user, or both, depending upon the particular technology and business relationship involved.</w:t>
      </w:r>
    </w:p>
    <w:p>
      <w:pPr>
        <w:pStyle w:val="Heading1"/>
        <w:keepNext w:val="true"/>
        <w:spacing w:before="180" w:after="80"/>
        <w:jc w:val="start"/>
        <w:rPr/>
      </w:pPr>
      <w:r>
        <w:rPr>
          <w:rFonts w:ascii="Arial" w:hAnsi="Arial"/>
          <w:b/>
          <w:color w:val="6F0D0D"/>
          <w:sz w:val="25"/>
        </w:rPr>
        <w:t>02  SCOPE</w:t>
      </w:r>
    </w:p>
    <w:p>
      <w:pPr>
        <w:pStyle w:val="Normal"/>
        <w:rPr/>
      </w:pPr>
      <w:r>
        <w:rPr/>
        <w:t>This policy applies to ALPR information that Lightning Recovery, Inc:</w:t>
      </w:r>
    </w:p>
    <w:p>
      <w:pPr>
        <w:pStyle w:val="ListBullet"/>
        <w:numPr>
          <w:ilvl w:val="0"/>
          <w:numId w:val="1"/>
        </w:numPr>
        <w:spacing w:before="0" w:after="60"/>
        <w:ind w:hanging="173" w:start="259"/>
        <w:contextualSpacing/>
        <w:rPr/>
      </w:pPr>
      <w:r>
        <w:rPr/>
        <w:t>Collects directly;</w:t>
      </w:r>
    </w:p>
    <w:p>
      <w:pPr>
        <w:pStyle w:val="ListBullet"/>
        <w:numPr>
          <w:ilvl w:val="0"/>
          <w:numId w:val="1"/>
        </w:numPr>
        <w:spacing w:before="0" w:after="60"/>
        <w:ind w:hanging="173" w:start="259"/>
        <w:contextualSpacing/>
        <w:rPr/>
      </w:pPr>
      <w:r>
        <w:rPr/>
        <w:t>Accesses through an ALPR system operated by Lightning Recovery, Inc;</w:t>
      </w:r>
    </w:p>
    <w:p>
      <w:pPr>
        <w:pStyle w:val="ListBullet"/>
        <w:numPr>
          <w:ilvl w:val="0"/>
          <w:numId w:val="1"/>
        </w:numPr>
        <w:spacing w:before="0" w:after="60"/>
        <w:ind w:hanging="173" w:start="259"/>
        <w:contextualSpacing/>
        <w:rPr/>
      </w:pPr>
      <w:r>
        <w:rPr/>
        <w:t>Accesses through a third-party ALPR system;</w:t>
      </w:r>
    </w:p>
    <w:p>
      <w:pPr>
        <w:pStyle w:val="ListBullet"/>
        <w:numPr>
          <w:ilvl w:val="0"/>
          <w:numId w:val="1"/>
        </w:numPr>
        <w:spacing w:before="0" w:after="60"/>
        <w:ind w:hanging="173" w:start="259"/>
        <w:contextualSpacing/>
        <w:rPr/>
      </w:pPr>
      <w:r>
        <w:rPr/>
        <w:t>Receives from an ALPR service provider;</w:t>
      </w:r>
    </w:p>
    <w:p>
      <w:pPr>
        <w:pStyle w:val="ListBullet"/>
        <w:numPr>
          <w:ilvl w:val="0"/>
          <w:numId w:val="1"/>
        </w:numPr>
        <w:spacing w:before="0" w:after="60"/>
        <w:ind w:hanging="173" w:start="259"/>
        <w:contextualSpacing/>
        <w:rPr/>
      </w:pPr>
      <w:r>
        <w:rPr/>
        <w:t>Maintains in an electronic or physical record;</w:t>
      </w:r>
    </w:p>
    <w:p>
      <w:pPr>
        <w:pStyle w:val="ListBullet"/>
        <w:numPr>
          <w:ilvl w:val="0"/>
          <w:numId w:val="1"/>
        </w:numPr>
        <w:spacing w:before="0" w:after="60"/>
        <w:ind w:hanging="173" w:start="259"/>
        <w:contextualSpacing/>
        <w:rPr/>
      </w:pPr>
      <w:r>
        <w:rPr/>
        <w:t>Uses in connection with a recovery assignment or investigation;</w:t>
      </w:r>
    </w:p>
    <w:p>
      <w:pPr>
        <w:pStyle w:val="ListBullet"/>
        <w:numPr>
          <w:ilvl w:val="0"/>
          <w:numId w:val="1"/>
        </w:numPr>
        <w:spacing w:before="0" w:after="60"/>
        <w:ind w:hanging="173" w:start="259"/>
        <w:contextualSpacing/>
        <w:rPr/>
      </w:pPr>
      <w:r>
        <w:rPr/>
        <w:t>Shares with authorized personnel, clients, vendors, or other authorized recipients; or</w:t>
      </w:r>
    </w:p>
    <w:p>
      <w:pPr>
        <w:pStyle w:val="ListBullet"/>
        <w:numPr>
          <w:ilvl w:val="0"/>
          <w:numId w:val="1"/>
        </w:numPr>
        <w:spacing w:before="0" w:after="60"/>
        <w:ind w:hanging="173" w:start="259"/>
        <w:contextualSpacing/>
        <w:rPr/>
      </w:pPr>
      <w:r>
        <w:rPr/>
        <w:t>Otherwise handles in the ordinary course of business.</w:t>
      </w:r>
    </w:p>
    <w:p>
      <w:pPr>
        <w:pStyle w:val="Normal"/>
        <w:rPr/>
      </w:pPr>
      <w:r>
        <w:rPr/>
        <w:t>The policy applies to owners, officers, managers, employees, investigators, skip tracers, recovery personnel, dispatch personnel, administrative personnel, independent contractors, recovery agents, consultants, temporary personnel, and other individuals who are authorized to access or handle ALPR information on behalf of Lightning Recovery, Inc.</w:t>
      </w:r>
    </w:p>
    <w:p>
      <w:pPr>
        <w:pStyle w:val="Heading1"/>
        <w:keepNext w:val="true"/>
        <w:spacing w:before="180" w:after="80"/>
        <w:jc w:val="start"/>
        <w:rPr/>
      </w:pPr>
      <w:r>
        <w:rPr>
          <w:rFonts w:ascii="Arial" w:hAnsi="Arial"/>
          <w:b/>
          <w:color w:val="6F0D0D"/>
          <w:sz w:val="25"/>
        </w:rPr>
        <w:t>03  DEFINITIONS</w:t>
      </w:r>
    </w:p>
    <w:p>
      <w:pPr>
        <w:pStyle w:val="Heading2"/>
        <w:jc w:val="start"/>
        <w:rPr/>
      </w:pPr>
      <w:r>
        <w:rPr>
          <w:rFonts w:ascii="Arial" w:hAnsi="Arial"/>
          <w:b/>
          <w:color w:val="6F0D0D"/>
        </w:rPr>
        <w:t>3.1 ALPR</w:t>
      </w:r>
    </w:p>
    <w:p>
      <w:pPr>
        <w:pStyle w:val="Normal"/>
        <w:rPr/>
      </w:pPr>
      <w:r>
        <w:rPr/>
        <w:t>"ALPR" means automated license plate recognition technology that uses one or more cameras or other devices to automatically detect, capture, read, collect, process, or record license plate information and associated information.</w:t>
      </w:r>
    </w:p>
    <w:p>
      <w:pPr>
        <w:pStyle w:val="Heading2"/>
        <w:jc w:val="start"/>
        <w:rPr/>
      </w:pPr>
      <w:r>
        <w:rPr>
          <w:rFonts w:ascii="Arial" w:hAnsi="Arial"/>
          <w:b/>
          <w:color w:val="6F0D0D"/>
        </w:rPr>
        <w:t>3.2 ALPR Information</w:t>
      </w:r>
    </w:p>
    <w:p>
      <w:pPr>
        <w:pStyle w:val="Normal"/>
        <w:rPr/>
      </w:pPr>
      <w:r>
        <w:rPr/>
        <w:t>"ALPR information" means information or data collected through an ALPR system that identifies or is capable of identifying a vehicle, license plate, or related observation, including associated date, time, location, image, or other data maintained with the observation.</w:t>
      </w:r>
    </w:p>
    <w:p>
      <w:pPr>
        <w:pStyle w:val="Heading2"/>
        <w:jc w:val="start"/>
        <w:rPr/>
      </w:pPr>
      <w:r>
        <w:rPr>
          <w:rFonts w:ascii="Arial" w:hAnsi="Arial"/>
          <w:b/>
          <w:color w:val="6F0D0D"/>
        </w:rPr>
        <w:t>3.3 ALPR Operator</w:t>
      </w:r>
    </w:p>
    <w:p>
      <w:pPr>
        <w:pStyle w:val="Normal"/>
        <w:rPr/>
      </w:pPr>
      <w:r>
        <w:rPr/>
        <w:t>"ALPR operator" means a person that operates an ALPR system, as defined by applicable California law.</w:t>
      </w:r>
    </w:p>
    <w:p>
      <w:pPr>
        <w:pStyle w:val="Heading2"/>
        <w:jc w:val="start"/>
        <w:rPr/>
      </w:pPr>
      <w:r>
        <w:rPr>
          <w:rFonts w:ascii="Arial" w:hAnsi="Arial"/>
          <w:b/>
          <w:color w:val="6F0D0D"/>
        </w:rPr>
        <w:t>3.4 ALPR End-User</w:t>
      </w:r>
    </w:p>
    <w:p>
      <w:pPr>
        <w:pStyle w:val="Normal"/>
        <w:rPr/>
      </w:pPr>
      <w:r>
        <w:rPr/>
        <w:t>"ALPR end-user" means a person that accesses or uses an ALPR system, as defined by applicable California law.</w:t>
      </w:r>
    </w:p>
    <w:p>
      <w:pPr>
        <w:pStyle w:val="Heading2"/>
        <w:jc w:val="start"/>
        <w:rPr/>
      </w:pPr>
      <w:r>
        <w:rPr>
          <w:rFonts w:ascii="Arial" w:hAnsi="Arial"/>
          <w:b/>
          <w:color w:val="6F0D0D"/>
        </w:rPr>
        <w:t>3.5 ALPR System</w:t>
      </w:r>
    </w:p>
    <w:p>
      <w:pPr>
        <w:pStyle w:val="Normal"/>
        <w:rPr/>
      </w:pPr>
      <w:r>
        <w:rPr/>
        <w:t>"ALPR system" means a system or combination of hardware, software, databases, networks, cameras, or related technology used to collect, process, maintain, search, or access ALPR information.</w:t>
      </w:r>
    </w:p>
    <w:p>
      <w:pPr>
        <w:pStyle w:val="Heading2"/>
        <w:jc w:val="start"/>
        <w:rPr/>
      </w:pPr>
      <w:r>
        <w:rPr>
          <w:rFonts w:ascii="Arial" w:hAnsi="Arial"/>
          <w:b/>
          <w:color w:val="6F0D0D"/>
        </w:rPr>
        <w:t>3.6 Authorized User</w:t>
      </w:r>
    </w:p>
    <w:p>
      <w:pPr>
        <w:pStyle w:val="Normal"/>
        <w:rPr/>
      </w:pPr>
      <w:r>
        <w:rPr/>
        <w:t>An "Authorized User" is an employee, independent contractor, recovery agent, or other individual who has been specifically authorized by Lightning Recovery, Inc to access or use ALPR information for an approved business purpose.</w:t>
      </w:r>
    </w:p>
    <w:p>
      <w:pPr>
        <w:pStyle w:val="Heading2"/>
        <w:jc w:val="start"/>
        <w:rPr/>
      </w:pPr>
      <w:r>
        <w:rPr>
          <w:rFonts w:ascii="Arial" w:hAnsi="Arial"/>
          <w:b/>
          <w:color w:val="6F0D0D"/>
        </w:rPr>
        <w:t>3.7 ALPR Service Provider</w:t>
      </w:r>
    </w:p>
    <w:p>
      <w:pPr>
        <w:pStyle w:val="Normal"/>
        <w:rPr/>
      </w:pPr>
      <w:r>
        <w:rPr/>
        <w:t>An "ALPR Service Provider" is a third party that provides ALPR hardware, software, database, hosting, search, processing, storage, or related services.</w:t>
      </w:r>
    </w:p>
    <w:p>
      <w:pPr>
        <w:pStyle w:val="Heading2"/>
        <w:jc w:val="start"/>
        <w:rPr/>
      </w:pPr>
      <w:r>
        <w:rPr>
          <w:rFonts w:ascii="Arial" w:hAnsi="Arial"/>
          <w:b/>
          <w:color w:val="6F0D0D"/>
        </w:rPr>
        <w:t>3.8 Client</w:t>
      </w:r>
    </w:p>
    <w:p>
      <w:pPr>
        <w:pStyle w:val="Normal"/>
        <w:rPr/>
      </w:pPr>
      <w:r>
        <w:rPr/>
        <w:t>"Client" means a creditor, lender, finance company, forwarder, dealer, servicer, or other authorized party for whom Lightning Recovery, Inc performs services.</w:t>
      </w:r>
    </w:p>
    <w:p>
      <w:pPr>
        <w:pStyle w:val="Heading2"/>
        <w:jc w:val="start"/>
        <w:rPr/>
      </w:pPr>
      <w:r>
        <w:rPr>
          <w:rFonts w:ascii="Arial" w:hAnsi="Arial"/>
          <w:b/>
          <w:color w:val="6F0D0D"/>
        </w:rPr>
        <w:t>3.9 Recovery Assignment</w:t>
      </w:r>
    </w:p>
    <w:p>
      <w:pPr>
        <w:pStyle w:val="Normal"/>
        <w:rPr/>
      </w:pPr>
      <w:r>
        <w:rPr/>
        <w:t>"Recovery Assignment" means an authorized assignment involving the location, recovery, investigation, servicing, or disposition of collateral or other property.</w:t>
      </w:r>
    </w:p>
    <w:p>
      <w:pPr>
        <w:pStyle w:val="Heading1"/>
        <w:keepNext w:val="true"/>
        <w:spacing w:before="180" w:after="80"/>
        <w:jc w:val="start"/>
        <w:rPr/>
      </w:pPr>
      <w:r>
        <w:rPr>
          <w:rFonts w:ascii="Arial" w:hAnsi="Arial"/>
          <w:b/>
          <w:color w:val="6F0D0D"/>
          <w:sz w:val="25"/>
        </w:rPr>
        <w:t>04  Lightning Recovery, Inc'S ROLE</w:t>
      </w:r>
    </w:p>
    <w:p>
      <w:pPr>
        <w:pStyle w:val="Normal"/>
        <w:rPr/>
      </w:pPr>
      <w:r>
        <w:rPr/>
        <w:t>Depending upon the technology used and the particular business relationship involved, Lightning Recovery, Inc may act as an ALPR operator, an ALPR end-user, or both.</w:t>
      </w:r>
    </w:p>
    <w:p>
      <w:pPr>
        <w:pStyle w:val="Normal"/>
        <w:rPr/>
      </w:pPr>
      <w:r>
        <w:rPr/>
        <w:t>When Lightning Recovery, Inc operates an ALPR system, Lightning Recovery, Inc will comply with the requirements applicable to ALPR operators.</w:t>
      </w:r>
    </w:p>
    <w:p>
      <w:pPr>
        <w:pStyle w:val="Normal"/>
        <w:rPr/>
      </w:pPr>
      <w:r>
        <w:rPr/>
        <w:t>When Lightning Recovery, Inc accesses or uses an ALPR system operated by another party, Lightning Recovery, Inc will comply with the requirements applicable to ALPR end-users.</w:t>
      </w:r>
    </w:p>
    <w:p>
      <w:pPr>
        <w:pStyle w:val="Normal"/>
        <w:rPr/>
      </w:pPr>
      <w:r>
        <w:rPr/>
        <w:t>The use of a third-party ALPR Service Provider does not eliminate Lightning Recovery, Inc's responsibility to establish and enforce appropriate internal controls over its own access and use of ALPR information.</w:t>
      </w:r>
    </w:p>
    <w:p>
      <w:pPr>
        <w:pStyle w:val="Heading1"/>
        <w:keepNext w:val="true"/>
        <w:spacing w:before="180" w:after="80"/>
        <w:jc w:val="start"/>
        <w:rPr/>
      </w:pPr>
      <w:r>
        <w:rPr>
          <w:rFonts w:ascii="Arial" w:hAnsi="Arial"/>
          <w:b/>
          <w:color w:val="6F0D0D"/>
          <w:sz w:val="25"/>
        </w:rPr>
        <w:t>05  AUTHORIZED PURPOSES</w:t>
      </w:r>
    </w:p>
    <w:p>
      <w:pPr>
        <w:pStyle w:val="Normal"/>
        <w:rPr/>
      </w:pPr>
      <w:r>
        <w:rPr/>
        <w:t>Lightning Recovery, Inc may collect, access, search, use, maintain, or disclose ALPR information only for a legitimate and authorized business or legal purpose.</w:t>
      </w:r>
    </w:p>
    <w:p>
      <w:pPr>
        <w:pStyle w:val="Normal"/>
        <w:rPr/>
      </w:pPr>
      <w:r>
        <w:rPr/>
        <w:t>Authorized purposes include:</w:t>
      </w:r>
    </w:p>
    <w:p>
      <w:pPr>
        <w:pStyle w:val="ListBullet"/>
        <w:numPr>
          <w:ilvl w:val="0"/>
          <w:numId w:val="1"/>
        </w:numPr>
        <w:spacing w:before="0" w:after="60"/>
        <w:ind w:hanging="173" w:start="259"/>
        <w:contextualSpacing/>
        <w:rPr/>
      </w:pPr>
      <w:r>
        <w:rPr/>
        <w:t>Collateral location and recovery — locating, identifying, investigating, and recovering collateral subject to a valid Recovery Assignment.</w:t>
      </w:r>
    </w:p>
    <w:p>
      <w:pPr>
        <w:pStyle w:val="ListBullet"/>
        <w:numPr>
          <w:ilvl w:val="0"/>
          <w:numId w:val="1"/>
        </w:numPr>
        <w:spacing w:before="0" w:after="60"/>
        <w:ind w:hanging="173" w:start="259"/>
        <w:contextualSpacing/>
        <w:rPr/>
      </w:pPr>
      <w:r>
        <w:rPr/>
        <w:t>Skip tracing and investigation — using ALPR information as an investigative resource when reasonably related to an authorized assignment or investigation.</w:t>
      </w:r>
    </w:p>
    <w:p>
      <w:pPr>
        <w:pStyle w:val="ListBullet"/>
        <w:numPr>
          <w:ilvl w:val="0"/>
          <w:numId w:val="1"/>
        </w:numPr>
        <w:spacing w:before="0" w:after="60"/>
        <w:ind w:hanging="173" w:start="259"/>
        <w:contextualSpacing/>
        <w:rPr/>
      </w:pPr>
      <w:r>
        <w:rPr/>
        <w:t>Assignment administration — supporting assignment management, documentation, quality control, and related business operations.</w:t>
      </w:r>
    </w:p>
    <w:p>
      <w:pPr>
        <w:pStyle w:val="ListBullet"/>
        <w:numPr>
          <w:ilvl w:val="0"/>
          <w:numId w:val="1"/>
        </w:numPr>
        <w:spacing w:before="0" w:after="60"/>
        <w:ind w:hanging="173" w:start="259"/>
        <w:contextualSpacing/>
        <w:rPr/>
      </w:pPr>
      <w:r>
        <w:rPr/>
        <w:t>Fraud prevention and investigation — investigating suspected fraud, theft, misrepresentation, or other unlawful activity when reasonably related to legitimate business activities.</w:t>
      </w:r>
    </w:p>
    <w:p>
      <w:pPr>
        <w:pStyle w:val="ListBullet"/>
        <w:numPr>
          <w:ilvl w:val="0"/>
          <w:numId w:val="1"/>
        </w:numPr>
        <w:spacing w:before="0" w:after="60"/>
        <w:ind w:hanging="173" w:start="259"/>
        <w:contextualSpacing/>
        <w:rPr/>
      </w:pPr>
      <w:r>
        <w:rPr/>
        <w:t>Security and compliance — investigating security incidents, unauthorized access, suspected misuse, compliance concerns, or matters necessary to protect Lightning Recovery, Inc, its clients, personnel, systems, and information.</w:t>
      </w:r>
    </w:p>
    <w:p>
      <w:pPr>
        <w:pStyle w:val="ListBullet"/>
        <w:numPr>
          <w:ilvl w:val="0"/>
          <w:numId w:val="1"/>
        </w:numPr>
        <w:spacing w:before="0" w:after="60"/>
        <w:ind w:hanging="173" w:start="259"/>
        <w:contextualSpacing/>
        <w:rPr/>
      </w:pPr>
      <w:r>
        <w:rPr/>
        <w:t>Legal or regulatory compliance — accessing, maintaining, or disclosing information when required or permitted by applicable law, regulation, legal process, or other lawful authority.</w:t>
      </w:r>
    </w:p>
    <w:p>
      <w:pPr>
        <w:pStyle w:val="ListBullet"/>
        <w:numPr>
          <w:ilvl w:val="0"/>
          <w:numId w:val="1"/>
        </w:numPr>
        <w:spacing w:before="0" w:after="60"/>
        <w:ind w:hanging="173" w:start="259"/>
        <w:contextualSpacing/>
        <w:rPr/>
      </w:pPr>
      <w:r>
        <w:rPr/>
        <w:t>Other authorized business purposes — another legitimate purpose consistent with this policy, applicable law, and the reasonable expectations established by the applicable business relationship.</w:t>
      </w:r>
    </w:p>
    <w:p>
      <w:pPr>
        <w:pStyle w:val="Heading1"/>
        <w:keepNext w:val="true"/>
        <w:spacing w:before="180" w:after="80"/>
        <w:jc w:val="start"/>
        <w:rPr/>
      </w:pPr>
      <w:r>
        <w:rPr>
          <w:rFonts w:ascii="Arial" w:hAnsi="Arial"/>
          <w:b/>
          <w:color w:val="6F0D0D"/>
          <w:sz w:val="25"/>
        </w:rPr>
        <w:t>06  PROHIBITED USES</w:t>
      </w:r>
    </w:p>
    <w:p>
      <w:pPr>
        <w:pStyle w:val="Normal"/>
        <w:rPr/>
      </w:pPr>
      <w:r>
        <w:rPr/>
        <w:t>ALPR information may not be used for:</w:t>
      </w:r>
    </w:p>
    <w:p>
      <w:pPr>
        <w:pStyle w:val="ListBullet"/>
        <w:numPr>
          <w:ilvl w:val="0"/>
          <w:numId w:val="1"/>
        </w:numPr>
        <w:spacing w:before="0" w:after="60"/>
        <w:ind w:hanging="173" w:start="259"/>
        <w:contextualSpacing/>
        <w:rPr/>
      </w:pPr>
      <w:r>
        <w:rPr/>
        <w:t>Personal curiosity;</w:t>
      </w:r>
    </w:p>
    <w:p>
      <w:pPr>
        <w:pStyle w:val="ListBullet"/>
        <w:numPr>
          <w:ilvl w:val="0"/>
          <w:numId w:val="1"/>
        </w:numPr>
        <w:spacing w:before="0" w:after="60"/>
        <w:ind w:hanging="173" w:start="259"/>
        <w:contextualSpacing/>
        <w:rPr/>
      </w:pPr>
      <w:r>
        <w:rPr/>
        <w:t>Searching for friends, relatives, neighbors, acquaintances, or other persons for personal reasons;</w:t>
      </w:r>
    </w:p>
    <w:p>
      <w:pPr>
        <w:pStyle w:val="ListBullet"/>
        <w:numPr>
          <w:ilvl w:val="0"/>
          <w:numId w:val="1"/>
        </w:numPr>
        <w:spacing w:before="0" w:after="60"/>
        <w:ind w:hanging="173" w:start="259"/>
        <w:contextualSpacing/>
        <w:rPr/>
      </w:pPr>
      <w:r>
        <w:rPr/>
        <w:t>Harassment, stalking, retaliation, intimidation, or surveillance unrelated to an authorized purpose;</w:t>
      </w:r>
    </w:p>
    <w:p>
      <w:pPr>
        <w:pStyle w:val="ListBullet"/>
        <w:numPr>
          <w:ilvl w:val="0"/>
          <w:numId w:val="1"/>
        </w:numPr>
        <w:spacing w:before="0" w:after="60"/>
        <w:ind w:hanging="173" w:start="259"/>
        <w:contextualSpacing/>
        <w:rPr/>
      </w:pPr>
      <w:r>
        <w:rPr/>
        <w:t>Discrimination or other unlawful purposes;</w:t>
      </w:r>
    </w:p>
    <w:p>
      <w:pPr>
        <w:pStyle w:val="ListBullet"/>
        <w:numPr>
          <w:ilvl w:val="0"/>
          <w:numId w:val="1"/>
        </w:numPr>
        <w:spacing w:before="0" w:after="60"/>
        <w:ind w:hanging="173" w:start="259"/>
        <w:contextualSpacing/>
        <w:rPr/>
      </w:pPr>
      <w:r>
        <w:rPr/>
        <w:t>Unauthorized investigations or searches;</w:t>
      </w:r>
    </w:p>
    <w:p>
      <w:pPr>
        <w:pStyle w:val="ListBullet"/>
        <w:numPr>
          <w:ilvl w:val="0"/>
          <w:numId w:val="1"/>
        </w:numPr>
        <w:spacing w:before="0" w:after="60"/>
        <w:ind w:hanging="173" w:start="259"/>
        <w:contextualSpacing/>
        <w:rPr/>
      </w:pPr>
      <w:r>
        <w:rPr/>
        <w:t>Circumventing system access controls;</w:t>
      </w:r>
    </w:p>
    <w:p>
      <w:pPr>
        <w:pStyle w:val="ListBullet"/>
        <w:numPr>
          <w:ilvl w:val="0"/>
          <w:numId w:val="1"/>
        </w:numPr>
        <w:spacing w:before="0" w:after="60"/>
        <w:ind w:hanging="173" w:start="259"/>
        <w:contextualSpacing/>
        <w:rPr/>
      </w:pPr>
      <w:r>
        <w:rPr/>
        <w:t>Sharing usernames, passwords, or other credentials;</w:t>
      </w:r>
    </w:p>
    <w:p>
      <w:pPr>
        <w:pStyle w:val="ListBullet"/>
        <w:numPr>
          <w:ilvl w:val="0"/>
          <w:numId w:val="1"/>
        </w:numPr>
        <w:spacing w:before="0" w:after="60"/>
        <w:ind w:hanging="173" w:start="259"/>
        <w:contextualSpacing/>
        <w:rPr/>
      </w:pPr>
      <w:r>
        <w:rPr/>
        <w:t>Allowing an unauthorized person to use an Authorized User's account;</w:t>
      </w:r>
    </w:p>
    <w:p>
      <w:pPr>
        <w:pStyle w:val="ListBullet"/>
        <w:numPr>
          <w:ilvl w:val="0"/>
          <w:numId w:val="1"/>
        </w:numPr>
        <w:spacing w:before="0" w:after="60"/>
        <w:ind w:hanging="173" w:start="259"/>
        <w:contextualSpacing/>
        <w:rPr/>
      </w:pPr>
      <w:r>
        <w:rPr/>
        <w:t>Unauthorized commercial use;</w:t>
      </w:r>
    </w:p>
    <w:p>
      <w:pPr>
        <w:pStyle w:val="ListBullet"/>
        <w:numPr>
          <w:ilvl w:val="0"/>
          <w:numId w:val="1"/>
        </w:numPr>
        <w:spacing w:before="0" w:after="60"/>
        <w:ind w:hanging="173" w:start="259"/>
        <w:contextualSpacing/>
        <w:rPr/>
      </w:pPr>
      <w:r>
        <w:rPr/>
        <w:t>Selling, transferring, or disclosing ALPR information outside an authorized purpose;</w:t>
      </w:r>
    </w:p>
    <w:p>
      <w:pPr>
        <w:pStyle w:val="ListBullet"/>
        <w:numPr>
          <w:ilvl w:val="0"/>
          <w:numId w:val="1"/>
        </w:numPr>
        <w:spacing w:before="0" w:after="60"/>
        <w:ind w:hanging="173" w:start="259"/>
        <w:contextualSpacing/>
        <w:rPr/>
      </w:pPr>
      <w:r>
        <w:rPr/>
        <w:t>Knowingly relying upon materially inaccurate information after the error is known;</w:t>
      </w:r>
    </w:p>
    <w:p>
      <w:pPr>
        <w:pStyle w:val="ListBullet"/>
        <w:numPr>
          <w:ilvl w:val="0"/>
          <w:numId w:val="1"/>
        </w:numPr>
        <w:spacing w:before="0" w:after="60"/>
        <w:ind w:hanging="173" w:start="259"/>
        <w:contextualSpacing/>
        <w:rPr/>
      </w:pPr>
      <w:r>
        <w:rPr/>
        <w:t>Altering, manipulating, concealing, or deleting ALPR records without authorization;</w:t>
      </w:r>
    </w:p>
    <w:p>
      <w:pPr>
        <w:pStyle w:val="ListBullet"/>
        <w:numPr>
          <w:ilvl w:val="0"/>
          <w:numId w:val="1"/>
        </w:numPr>
        <w:spacing w:before="0" w:after="60"/>
        <w:ind w:hanging="173" w:start="259"/>
        <w:contextualSpacing/>
        <w:rPr/>
      </w:pPr>
      <w:r>
        <w:rPr/>
        <w:t>Access after employment, contracting, or authorization has ended;</w:t>
      </w:r>
    </w:p>
    <w:p>
      <w:pPr>
        <w:pStyle w:val="ListBullet"/>
        <w:numPr>
          <w:ilvl w:val="0"/>
          <w:numId w:val="1"/>
        </w:numPr>
        <w:spacing w:before="0" w:after="60"/>
        <w:ind w:hanging="173" w:start="259"/>
        <w:contextualSpacing/>
        <w:rPr/>
      </w:pPr>
      <w:r>
        <w:rPr/>
        <w:t>Any purpose prohibited by law; or</w:t>
      </w:r>
    </w:p>
    <w:p>
      <w:pPr>
        <w:pStyle w:val="ListBullet"/>
        <w:numPr>
          <w:ilvl w:val="0"/>
          <w:numId w:val="1"/>
        </w:numPr>
        <w:spacing w:before="0" w:after="60"/>
        <w:ind w:hanging="173" w:start="259"/>
        <w:contextualSpacing/>
        <w:rPr/>
      </w:pPr>
      <w:r>
        <w:rPr/>
        <w:t>Any purpose inconsistent with this policy.</w:t>
      </w:r>
    </w:p>
    <w:p>
      <w:pPr>
        <w:pStyle w:val="Heading1"/>
        <w:keepNext w:val="true"/>
        <w:spacing w:before="180" w:after="80"/>
        <w:jc w:val="start"/>
        <w:rPr/>
      </w:pPr>
      <w:r>
        <w:rPr>
          <w:rFonts w:ascii="Arial" w:hAnsi="Arial"/>
          <w:b/>
          <w:color w:val="6F0D0D"/>
          <w:sz w:val="25"/>
        </w:rPr>
        <w:t>07  AUTHORIZED PERSONNEL AND ACCESS</w:t>
      </w:r>
    </w:p>
    <w:p>
      <w:pPr>
        <w:pStyle w:val="Normal"/>
        <w:rPr/>
      </w:pPr>
      <w:r>
        <w:rPr/>
        <w:t>Lightning Recovery, Inc will limit ALPR access to personnel whose job responsibilities reasonably require such access.</w:t>
      </w:r>
    </w:p>
    <w:p>
      <w:pPr>
        <w:pStyle w:val="ListBullet"/>
        <w:numPr>
          <w:ilvl w:val="0"/>
          <w:numId w:val="1"/>
        </w:numPr>
        <w:spacing w:before="0" w:after="60"/>
        <w:ind w:hanging="173" w:start="259"/>
        <w:contextualSpacing/>
        <w:rPr/>
      </w:pPr>
      <w:r>
        <w:rPr/>
        <w:t>Owners and executives;</w:t>
      </w:r>
    </w:p>
    <w:p>
      <w:pPr>
        <w:pStyle w:val="ListBullet"/>
        <w:numPr>
          <w:ilvl w:val="0"/>
          <w:numId w:val="1"/>
        </w:numPr>
        <w:spacing w:before="0" w:after="60"/>
        <w:ind w:hanging="173" w:start="259"/>
        <w:contextualSpacing/>
        <w:rPr/>
      </w:pPr>
      <w:r>
        <w:rPr/>
        <w:t>Managers and supervisors;</w:t>
      </w:r>
    </w:p>
    <w:p>
      <w:pPr>
        <w:pStyle w:val="ListBullet"/>
        <w:numPr>
          <w:ilvl w:val="0"/>
          <w:numId w:val="1"/>
        </w:numPr>
        <w:spacing w:before="0" w:after="60"/>
        <w:ind w:hanging="173" w:start="259"/>
        <w:contextualSpacing/>
        <w:rPr/>
      </w:pPr>
      <w:r>
        <w:rPr/>
        <w:t>Investigators and skip tracers;</w:t>
      </w:r>
    </w:p>
    <w:p>
      <w:pPr>
        <w:pStyle w:val="ListBullet"/>
        <w:numPr>
          <w:ilvl w:val="0"/>
          <w:numId w:val="1"/>
        </w:numPr>
        <w:spacing w:before="0" w:after="60"/>
        <w:ind w:hanging="173" w:start="259"/>
        <w:contextualSpacing/>
        <w:rPr/>
      </w:pPr>
      <w:r>
        <w:rPr/>
        <w:t>Recovery agents;</w:t>
      </w:r>
    </w:p>
    <w:p>
      <w:pPr>
        <w:pStyle w:val="ListBullet"/>
        <w:numPr>
          <w:ilvl w:val="0"/>
          <w:numId w:val="1"/>
        </w:numPr>
        <w:spacing w:before="0" w:after="60"/>
        <w:ind w:hanging="173" w:start="259"/>
        <w:contextualSpacing/>
        <w:rPr/>
      </w:pPr>
      <w:r>
        <w:rPr/>
        <w:t>Dispatch or assignment personnel;</w:t>
      </w:r>
    </w:p>
    <w:p>
      <w:pPr>
        <w:pStyle w:val="ListBullet"/>
        <w:numPr>
          <w:ilvl w:val="0"/>
          <w:numId w:val="1"/>
        </w:numPr>
        <w:spacing w:before="0" w:after="60"/>
        <w:ind w:hanging="173" w:start="259"/>
        <w:contextualSpacing/>
        <w:rPr/>
      </w:pPr>
      <w:r>
        <w:rPr/>
        <w:t>Administrative personnel with a legitimate need;</w:t>
      </w:r>
    </w:p>
    <w:p>
      <w:pPr>
        <w:pStyle w:val="ListBullet"/>
        <w:numPr>
          <w:ilvl w:val="0"/>
          <w:numId w:val="1"/>
        </w:numPr>
        <w:spacing w:before="0" w:after="60"/>
        <w:ind w:hanging="173" w:start="259"/>
        <w:contextualSpacing/>
        <w:rPr/>
      </w:pPr>
      <w:r>
        <w:rPr/>
        <w:t>Authorized independent contractors; and</w:t>
      </w:r>
    </w:p>
    <w:p>
      <w:pPr>
        <w:pStyle w:val="ListBullet"/>
        <w:numPr>
          <w:ilvl w:val="0"/>
          <w:numId w:val="1"/>
        </w:numPr>
        <w:spacing w:before="0" w:after="60"/>
        <w:ind w:hanging="173" w:start="259"/>
        <w:contextualSpacing/>
        <w:rPr/>
      </w:pPr>
      <w:r>
        <w:rPr/>
        <w:t>Other personnel specifically approved by Lightning Recovery, Inc.</w:t>
      </w:r>
    </w:p>
    <w:p>
      <w:pPr>
        <w:pStyle w:val="Normal"/>
        <w:rPr/>
      </w:pPr>
      <w:r>
        <w:rPr/>
        <w:t>Where technically feasible, access will be assigned to individual user accounts rather than shared credentials. Lightning Recovery, Inc will use reasonable measures to limit users to the level of access necessary to perform their authorized responsibilities.</w:t>
      </w:r>
    </w:p>
    <w:p>
      <w:pPr>
        <w:pStyle w:val="Heading1"/>
        <w:keepNext w:val="true"/>
        <w:spacing w:before="180" w:after="80"/>
        <w:jc w:val="start"/>
        <w:rPr/>
      </w:pPr>
      <w:r>
        <w:rPr>
          <w:rFonts w:ascii="Arial" w:hAnsi="Arial"/>
          <w:b/>
          <w:color w:val="6F0D0D"/>
          <w:sz w:val="25"/>
        </w:rPr>
        <w:t>08  TRAINING</w:t>
      </w:r>
    </w:p>
    <w:p>
      <w:pPr>
        <w:pStyle w:val="Normal"/>
        <w:rPr/>
      </w:pPr>
      <w:r>
        <w:rPr/>
        <w:t>Before receiving ALPR access, Authorized Users must receive training appropriate to their responsibilities.</w:t>
      </w:r>
    </w:p>
    <w:p>
      <w:pPr>
        <w:pStyle w:val="Normal"/>
        <w:rPr/>
      </w:pPr>
      <w:r>
        <w:rPr/>
        <w:t>Training will address, as applicable:</w:t>
      </w:r>
    </w:p>
    <w:p>
      <w:pPr>
        <w:pStyle w:val="ListBullet"/>
        <w:numPr>
          <w:ilvl w:val="0"/>
          <w:numId w:val="1"/>
        </w:numPr>
        <w:spacing w:before="0" w:after="60"/>
        <w:ind w:hanging="173" w:start="259"/>
        <w:contextualSpacing/>
        <w:rPr/>
      </w:pPr>
      <w:r>
        <w:rPr/>
        <w:t>Purpose and limitations of ALPR technology;</w:t>
      </w:r>
    </w:p>
    <w:p>
      <w:pPr>
        <w:pStyle w:val="ListBullet"/>
        <w:numPr>
          <w:ilvl w:val="0"/>
          <w:numId w:val="1"/>
        </w:numPr>
        <w:spacing w:before="0" w:after="60"/>
        <w:ind w:hanging="173" w:start="259"/>
        <w:contextualSpacing/>
        <w:rPr/>
      </w:pPr>
      <w:r>
        <w:rPr/>
        <w:t>Authorized and prohibited uses;</w:t>
      </w:r>
    </w:p>
    <w:p>
      <w:pPr>
        <w:pStyle w:val="ListBullet"/>
        <w:numPr>
          <w:ilvl w:val="0"/>
          <w:numId w:val="1"/>
        </w:numPr>
        <w:spacing w:before="0" w:after="60"/>
        <w:ind w:hanging="173" w:start="259"/>
        <w:contextualSpacing/>
        <w:rPr/>
      </w:pPr>
      <w:r>
        <w:rPr/>
        <w:t>Privacy and civil-liberties considerations;</w:t>
      </w:r>
    </w:p>
    <w:p>
      <w:pPr>
        <w:pStyle w:val="ListBullet"/>
        <w:numPr>
          <w:ilvl w:val="0"/>
          <w:numId w:val="1"/>
        </w:numPr>
        <w:spacing w:before="0" w:after="60"/>
        <w:ind w:hanging="173" w:start="259"/>
        <w:contextualSpacing/>
        <w:rPr/>
      </w:pPr>
      <w:r>
        <w:rPr/>
        <w:t>Search and query procedures;</w:t>
      </w:r>
    </w:p>
    <w:p>
      <w:pPr>
        <w:pStyle w:val="ListBullet"/>
        <w:numPr>
          <w:ilvl w:val="0"/>
          <w:numId w:val="1"/>
        </w:numPr>
        <w:spacing w:before="0" w:after="60"/>
        <w:ind w:hanging="173" w:start="259"/>
        <w:contextualSpacing/>
        <w:rPr/>
      </w:pPr>
      <w:r>
        <w:rPr/>
        <w:t>Verification of ALPR information;</w:t>
      </w:r>
    </w:p>
    <w:p>
      <w:pPr>
        <w:pStyle w:val="ListBullet"/>
        <w:numPr>
          <w:ilvl w:val="0"/>
          <w:numId w:val="1"/>
        </w:numPr>
        <w:spacing w:before="0" w:after="60"/>
        <w:ind w:hanging="173" w:start="259"/>
        <w:contextualSpacing/>
        <w:rPr/>
      </w:pPr>
      <w:r>
        <w:rPr/>
        <w:t>False positives and potential inaccuracies;</w:t>
      </w:r>
    </w:p>
    <w:p>
      <w:pPr>
        <w:pStyle w:val="ListBullet"/>
        <w:numPr>
          <w:ilvl w:val="0"/>
          <w:numId w:val="1"/>
        </w:numPr>
        <w:spacing w:before="0" w:after="60"/>
        <w:ind w:hanging="173" w:start="259"/>
        <w:contextualSpacing/>
        <w:rPr/>
      </w:pPr>
      <w:r>
        <w:rPr/>
        <w:t>Security and credential protection;</w:t>
      </w:r>
    </w:p>
    <w:p>
      <w:pPr>
        <w:pStyle w:val="ListBullet"/>
        <w:numPr>
          <w:ilvl w:val="0"/>
          <w:numId w:val="1"/>
        </w:numPr>
        <w:spacing w:before="0" w:after="60"/>
        <w:ind w:hanging="173" w:start="259"/>
        <w:contextualSpacing/>
        <w:rPr/>
      </w:pPr>
      <w:r>
        <w:rPr/>
        <w:t>Information-sharing requirements;</w:t>
      </w:r>
    </w:p>
    <w:p>
      <w:pPr>
        <w:pStyle w:val="ListBullet"/>
        <w:numPr>
          <w:ilvl w:val="0"/>
          <w:numId w:val="1"/>
        </w:numPr>
        <w:spacing w:before="0" w:after="60"/>
        <w:ind w:hanging="173" w:start="259"/>
        <w:contextualSpacing/>
        <w:rPr/>
      </w:pPr>
      <w:r>
        <w:rPr/>
        <w:t>Incident reporting;</w:t>
      </w:r>
    </w:p>
    <w:p>
      <w:pPr>
        <w:pStyle w:val="ListBullet"/>
        <w:numPr>
          <w:ilvl w:val="0"/>
          <w:numId w:val="1"/>
        </w:numPr>
        <w:spacing w:before="0" w:after="60"/>
        <w:ind w:hanging="173" w:start="259"/>
        <w:contextualSpacing/>
        <w:rPr/>
      </w:pPr>
      <w:r>
        <w:rPr/>
        <w:t>Retention and destruction requirements; and</w:t>
      </w:r>
    </w:p>
    <w:p>
      <w:pPr>
        <w:pStyle w:val="ListBullet"/>
        <w:numPr>
          <w:ilvl w:val="0"/>
          <w:numId w:val="1"/>
        </w:numPr>
        <w:spacing w:before="0" w:after="60"/>
        <w:ind w:hanging="173" w:start="259"/>
        <w:contextualSpacing/>
        <w:rPr/>
      </w:pPr>
      <w:r>
        <w:rPr/>
        <w:t>This policy and applicable procedures.</w:t>
      </w:r>
    </w:p>
    <w:p>
      <w:pPr>
        <w:pStyle w:val="Normal"/>
        <w:rPr/>
      </w:pPr>
      <w:r>
        <w:rPr/>
        <w:t>Lightning Recovery, Inc will maintain reasonable records demonstrating completion of required training. Additional or refresher training may be required when the law, technology, procedures, or risks materially change, or when management determines it is appropriate.</w:t>
      </w:r>
    </w:p>
    <w:p>
      <w:pPr>
        <w:pStyle w:val="Heading1"/>
        <w:keepNext w:val="true"/>
        <w:spacing w:before="180" w:after="80"/>
        <w:jc w:val="start"/>
        <w:rPr/>
      </w:pPr>
      <w:r>
        <w:rPr>
          <w:rFonts w:ascii="Arial" w:hAnsi="Arial"/>
          <w:b/>
          <w:color w:val="6F0D0D"/>
          <w:sz w:val="25"/>
        </w:rPr>
        <w:t>09  ALPR COLLECTION AND ACQUISITION</w:t>
      </w:r>
    </w:p>
    <w:p>
      <w:pPr>
        <w:pStyle w:val="Normal"/>
        <w:rPr/>
      </w:pPr>
      <w:r>
        <w:rPr/>
        <w:t>Lightning Recovery, Inc may obtain ALPR information through ALPR systems operated by Lightning Recovery, Inc, third-party ALPR systems, authorized ALPR Service Providers, authorized clients or business partners, or other lawful sources. Lightning Recovery, Inc does not represent that ALPR information is inherently accurate, complete, current, or sufficient by itself to establish the identity or location of a vehicle. ALPR information is an investigative resource and must be evaluated accordingly.</w:t>
      </w:r>
    </w:p>
    <w:p>
      <w:pPr>
        <w:pStyle w:val="Heading1"/>
        <w:keepNext w:val="true"/>
        <w:spacing w:before="180" w:after="80"/>
        <w:jc w:val="start"/>
        <w:rPr/>
      </w:pPr>
      <w:r>
        <w:rPr>
          <w:rFonts w:ascii="Arial" w:hAnsi="Arial"/>
          <w:b/>
          <w:color w:val="6F0D0D"/>
          <w:sz w:val="25"/>
        </w:rPr>
        <w:t>10  SEARCH AND QUERY PROCEDURES</w:t>
      </w:r>
    </w:p>
    <w:p>
      <w:pPr>
        <w:pStyle w:val="Normal"/>
        <w:rPr/>
      </w:pPr>
      <w:r>
        <w:rPr/>
        <w:t>Authorized Users must conduct ALPR searches only for an authorized purpose. Searches should be reasonably related to the purpose for which access is being made and should not exceed what is reasonably necessary for that purpose. When appropriate, an Authorized User should document the assignment, investigation, or other legitimate purpose associated with the search. ALPR results should be treated as investigative leads rather than conclusive proof of a vehicle's current location or identity.</w:t>
      </w:r>
    </w:p>
    <w:p>
      <w:pPr>
        <w:pStyle w:val="Heading1"/>
        <w:keepNext w:val="true"/>
        <w:spacing w:before="180" w:after="80"/>
        <w:jc w:val="start"/>
        <w:rPr/>
      </w:pPr>
      <w:r>
        <w:rPr>
          <w:rFonts w:ascii="Arial" w:hAnsi="Arial"/>
          <w:b/>
          <w:color w:val="6F0D0D"/>
          <w:sz w:val="25"/>
        </w:rPr>
        <w:t>11  ACCURACY, VERIFICATION, AND ERROR CORRECTION</w:t>
      </w:r>
    </w:p>
    <w:p>
      <w:pPr>
        <w:pStyle w:val="Normal"/>
        <w:rPr/>
      </w:pPr>
      <w:r>
        <w:rPr/>
        <w:t>Lightning Recovery, Inc recognizes that ALPR systems may produce inaccurate results. Reasonable measures will be used to evaluate ALPR information before significant action is taken based substantially upon an ALPR result. Users should consider plate number, state, make, model, color, vehicle characteristics, date, time, location, image quality, direction of travel, age of the observation, consistency with other information, and whether a plate may have been misread or associated with the wrong vehicle. Known material errors should be reported to the appropriate Lightning Recovery, Inc contact and, when appropriate, to the applicable ALPR Service Provider.</w:t>
      </w:r>
    </w:p>
    <w:p>
      <w:pPr>
        <w:pStyle w:val="Heading1"/>
        <w:keepNext w:val="true"/>
        <w:spacing w:before="180" w:after="80"/>
        <w:jc w:val="start"/>
        <w:rPr/>
      </w:pPr>
      <w:r>
        <w:rPr>
          <w:rFonts w:ascii="Arial" w:hAnsi="Arial"/>
          <w:b/>
          <w:color w:val="6F0D0D"/>
          <w:sz w:val="25"/>
        </w:rPr>
        <w:t>12  ACCESS RECORDS, MONITORING, AND AUDITING</w:t>
      </w:r>
    </w:p>
    <w:p>
      <w:pPr>
        <w:pStyle w:val="Normal"/>
        <w:rPr/>
      </w:pPr>
      <w:r>
        <w:rPr/>
        <w:t>Lightning Recovery, Inc will maintain or ensure the availability of access records required by applicable California law for ALPR information that it operates or provides access to. These records will include, as applicable, the date and time of access, license plate number or other query information, username and affiliated organization where applicable, and the purpose of access. Records may include date and time, license plate or other query information, username and affiliated organization when applicable, purpose of access, and other information maintained automatically by the applicable ALPR system. Lightning Recovery, Inc will use reasonable measures to monitor ALPR access and use for security and compliance. Periodic reviews or audits will evaluate authorization, legitimate purposes, policy compliance, security controls, suspected misuse, and corrective action.</w:t>
      </w:r>
    </w:p>
    <w:p>
      <w:pPr>
        <w:pStyle w:val="Heading1"/>
        <w:keepNext w:val="true"/>
        <w:spacing w:before="180" w:after="80"/>
        <w:jc w:val="start"/>
        <w:rPr/>
      </w:pPr>
      <w:r>
        <w:rPr>
          <w:rFonts w:ascii="Arial" w:hAnsi="Arial"/>
          <w:b/>
          <w:color w:val="6F0D0D"/>
          <w:sz w:val="25"/>
        </w:rPr>
        <w:t>13  LAW ENFORCEMENT REQUESTS</w:t>
      </w:r>
    </w:p>
    <w:p>
      <w:pPr>
        <w:pStyle w:val="Normal"/>
        <w:rPr/>
      </w:pPr>
      <w:r>
        <w:rPr/>
        <w:t>ALPR information may be disclosed to law enforcement when authorized or required by applicable law, legal process, or an otherwise lawful request. Before voluntarily disclosing ALPR information, Lightning Recovery, Inc should reasonably confirm the identity and authority of the requester, purpose, information requested, applicable legal process, whether disclosure is permitted, and what information should reasonably be disclosed. Requests and disclosures should be documented when appropriate.</w:t>
      </w:r>
    </w:p>
    <w:p>
      <w:pPr>
        <w:pStyle w:val="Heading1"/>
        <w:keepNext w:val="true"/>
        <w:spacing w:before="180" w:after="80"/>
        <w:jc w:val="start"/>
        <w:rPr/>
      </w:pPr>
      <w:r>
        <w:rPr>
          <w:rFonts w:ascii="Arial" w:hAnsi="Arial"/>
          <w:b/>
          <w:color w:val="6F0D0D"/>
          <w:sz w:val="25"/>
        </w:rPr>
        <w:t>14  DATA SECURITY</w:t>
      </w:r>
    </w:p>
    <w:p>
      <w:pPr>
        <w:pStyle w:val="Normal"/>
        <w:rPr/>
      </w:pPr>
      <w:r>
        <w:rPr/>
        <w:t>Lightning Recovery, Inc will maintain reasonable administrative, technical, operational, and physical safeguards designed to protect ALPR information from unauthorized access, use, disclosure, alteration, loss, or destruction. Reasonable safeguards may include individual credentials, password protection, multi-factor authentication where available and appropriate, role-based access, device security, secure networks, physical security, training, vendor security requirements, security monitoring, incident-response procedures, and timely removal of access when authorization ends.</w:t>
      </w:r>
    </w:p>
    <w:p>
      <w:pPr>
        <w:pStyle w:val="Heading1"/>
        <w:keepNext w:val="true"/>
        <w:spacing w:before="180" w:after="80"/>
        <w:jc w:val="start"/>
        <w:rPr/>
      </w:pPr>
      <w:r>
        <w:rPr>
          <w:rFonts w:ascii="Arial" w:hAnsi="Arial"/>
          <w:b/>
          <w:color w:val="6F0D0D"/>
          <w:sz w:val="25"/>
        </w:rPr>
        <w:t>15  CONFIDENTIALITY</w:t>
      </w:r>
    </w:p>
    <w:p>
      <w:pPr>
        <w:pStyle w:val="Normal"/>
        <w:rPr/>
      </w:pPr>
      <w:r>
        <w:rPr/>
        <w:t>ALPR information will be treated as confidential information of Lightning Recovery, Inc unless disclosure is authorized by this policy, applicable law, contract, or other lawful authority. Authorized Users must not disclose ALPR information to persons who do not have a legitimate need to receive it.</w:t>
      </w:r>
    </w:p>
    <w:p>
      <w:pPr>
        <w:pStyle w:val="Heading1"/>
        <w:keepNext w:val="true"/>
        <w:spacing w:before="180" w:after="80"/>
        <w:jc w:val="start"/>
        <w:rPr/>
      </w:pPr>
      <w:r>
        <w:rPr>
          <w:rFonts w:ascii="Arial" w:hAnsi="Arial"/>
          <w:b/>
          <w:color w:val="6F0D0D"/>
          <w:sz w:val="25"/>
        </w:rPr>
        <w:t>16  SALE, SHARING, TRANSFER, AND COMMERCIAL DISCLOSURE</w:t>
      </w:r>
    </w:p>
    <w:p>
      <w:pPr>
        <w:pStyle w:val="Normal"/>
        <w:rPr/>
      </w:pPr>
      <w:r>
        <w:rPr/>
        <w:t>Lightning Recovery, Inc will not sell, share, transfer, or otherwise disclose ALPR information except for a legitimate and authorized purpose consistent with applicable law, contractual obligations, and this policy. Authorized disclosures may include those reasonably necessary to perform a Recovery Assignment, provide investigative or recovery information to an authorized client, coordinate recovery activities, obtain authorized vendor services, respond to law enforcement or legal process, protect systems or property, investigate fraud or theft, or comply with legal or regulatory obligations. Lightning Recovery, Inc will use reasonable measures to limit disclosures to information appropriate for the authorized purpose.</w:t>
      </w:r>
    </w:p>
    <w:p>
      <w:pPr>
        <w:pStyle w:val="Heading1"/>
        <w:keepNext w:val="true"/>
        <w:spacing w:before="180" w:after="80"/>
        <w:jc w:val="start"/>
        <w:rPr/>
      </w:pPr>
      <w:r>
        <w:rPr>
          <w:rFonts w:ascii="Arial" w:hAnsi="Arial"/>
          <w:b/>
          <w:color w:val="6F0D0D"/>
          <w:sz w:val="25"/>
        </w:rPr>
        <w:t>17  THIRD-PARTY ALPR SERVICE PROVIDERS</w:t>
      </w:r>
    </w:p>
    <w:p>
      <w:pPr>
        <w:pStyle w:val="Normal"/>
        <w:rPr/>
      </w:pPr>
      <w:r>
        <w:rPr/>
        <w:t>When Lightning Recovery, Inc uses a third-party ALPR Service Provider, Lightning Recovery, Inc will consider, as appropriate, the provider's security practices, access controls, authentication, data handling, retention, sharing, contractual restrictions, incident reporting, correction procedures, and ability to support applicable legal and contractual obligations. Nothing in this policy represents that Lightning Recovery, Inc controls information that is exclusively maintained by a third party.</w:t>
      </w:r>
    </w:p>
    <w:p>
      <w:pPr>
        <w:pStyle w:val="Heading1"/>
        <w:keepNext w:val="true"/>
        <w:spacing w:before="180" w:after="80"/>
        <w:jc w:val="start"/>
        <w:rPr/>
      </w:pPr>
      <w:r>
        <w:rPr>
          <w:rFonts w:ascii="Arial" w:hAnsi="Arial"/>
          <w:b/>
          <w:color w:val="6F0D0D"/>
          <w:sz w:val="25"/>
        </w:rPr>
        <w:t>18  RETENTION AND DESTRUCTION</w:t>
      </w:r>
    </w:p>
    <w:p>
      <w:pPr>
        <w:pStyle w:val="Normal"/>
        <w:rPr/>
      </w:pPr>
      <w:r>
        <w:rPr/>
        <w:t>Unless a longer period is required by law, contract, litigation hold, legal process, active investigation, evidentiary need, or other legitimate documented need, Lightning Recovery, Inc will retain ALPR information maintained directly by Lightning Recovery, Inc for two (2) years. The two-year period is an internal retention standard adopted by Lightning Recovery, Inc and is not represented as a retention period mandated by California law. When the applicable retention period expires and no exception applies, ALPR information will be securely destroyed, deleted, or rendered inaccessible in accordance with the capabilities of the applicable system. Access, audit, training, incident, and compliance records may be retained separately when reasonably necessary to document compliance, investigate incidents, or satisfy legal or business requirements.</w:t>
      </w:r>
    </w:p>
    <w:p>
      <w:pPr>
        <w:pStyle w:val="Heading1"/>
        <w:keepNext w:val="true"/>
        <w:spacing w:before="180" w:after="80"/>
        <w:jc w:val="start"/>
        <w:rPr/>
      </w:pPr>
      <w:r>
        <w:rPr>
          <w:rFonts w:ascii="Arial" w:hAnsi="Arial"/>
          <w:b/>
          <w:color w:val="6F0D0D"/>
          <w:sz w:val="25"/>
        </w:rPr>
        <w:t>19  INDIVIDUAL PRIVACY INQUIRIES AND COMPLAINTS</w:t>
      </w:r>
    </w:p>
    <w:p>
      <w:pPr>
        <w:pStyle w:val="Normal"/>
        <w:rPr/>
      </w:pPr>
      <w:r>
        <w:rPr/>
        <w:t>Individuals who have questions or concerns regarding Lightning Recovery, Inc's handling of ALPR information may contact the Policy Contact identified in the Document Control section of this policy. Lightning Recovery, Inc will reasonably review complaints or inquiries concerning ALPR information and will take appropriate corrective action when warranted. Nothing in this section creates rights beyond those provided by applicable law.</w:t>
      </w:r>
    </w:p>
    <w:p>
      <w:pPr>
        <w:pStyle w:val="Heading1"/>
        <w:keepNext w:val="true"/>
        <w:spacing w:before="180" w:after="80"/>
        <w:jc w:val="start"/>
        <w:rPr/>
      </w:pPr>
      <w:r>
        <w:rPr>
          <w:rFonts w:ascii="Arial" w:hAnsi="Arial"/>
          <w:b/>
          <w:color w:val="6F0D0D"/>
          <w:sz w:val="25"/>
        </w:rPr>
        <w:t>20  SECURITY INCIDENTS AND UNAUTHORIZED ACCESS</w:t>
      </w:r>
    </w:p>
    <w:p>
      <w:pPr>
        <w:pStyle w:val="Normal"/>
        <w:rPr/>
      </w:pPr>
      <w:r>
        <w:rPr/>
        <w:t>Suspected unauthorized access, use, disclosure, loss, alteration, or other security incident involving ALPR information must be reported promptly to management or the designated policy contact. Lightning Recovery, Inc will take reasonable steps to stop or contain unauthorized activity, secure affected systems or information, preserve relevant evidence, investigate, determine scope, take corrective action, and make legally required notifications.</w:t>
      </w:r>
    </w:p>
    <w:p>
      <w:pPr>
        <w:pStyle w:val="Heading1"/>
        <w:keepNext w:val="true"/>
        <w:spacing w:before="180" w:after="80"/>
        <w:jc w:val="start"/>
        <w:rPr/>
      </w:pPr>
      <w:r>
        <w:rPr>
          <w:rFonts w:ascii="Arial" w:hAnsi="Arial"/>
          <w:b/>
          <w:color w:val="6F0D0D"/>
          <w:sz w:val="25"/>
        </w:rPr>
        <w:t>21  POLICY ENFORCEMENT</w:t>
      </w:r>
    </w:p>
    <w:p>
      <w:pPr>
        <w:pStyle w:val="Normal"/>
        <w:rPr/>
      </w:pPr>
      <w:r>
        <w:rPr/>
        <w:t>Violations of this policy may result in additional training, restriction or suspension of ALPR access, removal of access privileges, disciplinary action, termination of employment or contractual relationship, or other appropriate corrective action. Lightning Recovery, Inc prohibits retaliation against a person who, in good faith, reports suspected misuse, unauthorized access, security concerns, or other policy violations.</w:t>
      </w:r>
    </w:p>
    <w:p>
      <w:pPr>
        <w:pStyle w:val="Heading1"/>
        <w:keepNext w:val="true"/>
        <w:spacing w:before="180" w:after="80"/>
        <w:jc w:val="start"/>
        <w:rPr/>
      </w:pPr>
      <w:r>
        <w:rPr>
          <w:rFonts w:ascii="Arial" w:hAnsi="Arial"/>
          <w:b/>
          <w:color w:val="6F0D0D"/>
          <w:sz w:val="25"/>
        </w:rPr>
        <w:t>22  POLICY REVIEW AND AMENDMENT</w:t>
      </w:r>
    </w:p>
    <w:p>
      <w:pPr>
        <w:pStyle w:val="Normal"/>
        <w:rPr/>
      </w:pPr>
      <w:r>
        <w:rPr/>
        <w:t>Lightning Recovery, Inc will periodically review this policy and will update it when appropriate. Review may consider changes in California law, court decisions, ALPR technology, business practices, security incidents, audit findings, changes in third-party providers, and identified privacy or compliance risks. Material amendments will be incorporated into the publicly available version when required.</w:t>
      </w:r>
    </w:p>
    <w:p>
      <w:pPr>
        <w:pStyle w:val="Heading1"/>
        <w:keepNext w:val="true"/>
        <w:spacing w:before="180" w:after="80"/>
        <w:jc w:val="start"/>
        <w:rPr/>
      </w:pPr>
      <w:r>
        <w:rPr>
          <w:rFonts w:ascii="Arial" w:hAnsi="Arial"/>
          <w:b/>
          <w:color w:val="6F0D0D"/>
          <w:sz w:val="25"/>
        </w:rPr>
        <w:t>23  PUBLIC AVAILABILITY</w:t>
      </w:r>
    </w:p>
    <w:p>
      <w:pPr>
        <w:pStyle w:val="Normal"/>
        <w:rPr/>
      </w:pPr>
      <w:r>
        <w:rPr/>
        <w:t>This policy will be maintained in written form and made publicly available in accordance with applicable California law. When Lightning Recovery, Inc maintains a website, the policy will be conspicuously posted or made readily accessible from the website. The current version of this policy is maintained by Lightning Recovery, Inc at the website identified in the Document Control section of this policy.</w:t>
      </w:r>
    </w:p>
    <w:p>
      <w:pPr>
        <w:pStyle w:val="Heading1"/>
        <w:keepNext w:val="true"/>
        <w:spacing w:before="180" w:after="80"/>
        <w:jc w:val="start"/>
        <w:rPr/>
      </w:pPr>
      <w:r>
        <w:rPr>
          <w:rFonts w:ascii="Arial" w:hAnsi="Arial"/>
          <w:b/>
          <w:color w:val="6F0D0D"/>
          <w:sz w:val="25"/>
        </w:rPr>
        <w:t>24  CONTACT INFORMATION</w:t>
      </w:r>
    </w:p>
    <w:p>
      <w:pPr>
        <w:pStyle w:val="Normal"/>
        <w:rPr/>
      </w:pPr>
      <w:r>
        <w:rPr/>
        <w:t>Questions regarding this policy should be directed to the Policy Contact identified in the Document Control section of this policy.</w:t>
      </w:r>
    </w:p>
    <w:p>
      <w:pPr>
        <w:pStyle w:val="Heading1"/>
        <w:keepNext w:val="true"/>
        <w:spacing w:before="180" w:after="80"/>
        <w:jc w:val="start"/>
        <w:rPr/>
      </w:pPr>
      <w:r>
        <w:rPr>
          <w:rFonts w:ascii="Arial" w:hAnsi="Arial"/>
          <w:b/>
          <w:color w:val="6F0D0D"/>
          <w:sz w:val="25"/>
        </w:rPr>
        <w:t>25  EFFECTIVE DATE AND VERSION CONTROL</w:t>
      </w:r>
    </w:p>
    <w:p>
      <w:pPr>
        <w:pStyle w:val="Normal"/>
        <w:rPr/>
      </w:pPr>
      <w:r>
        <w:rPr/>
        <w:t>Policy: California ALPR Usage, Privacy &amp; Compliance Policy</w:t>
      </w:r>
    </w:p>
    <w:p>
      <w:pPr>
        <w:pStyle w:val="Normal"/>
        <w:rPr/>
      </w:pPr>
      <w:r>
        <w:rPr/>
        <w:t>Agency: Lightning Recovery, Inc</w:t>
      </w:r>
    </w:p>
    <w:p>
      <w:pPr>
        <w:pStyle w:val="Normal"/>
        <w:rPr/>
      </w:pPr>
      <w:r>
        <w:rPr/>
        <w:t>Version: 1.0</w:t>
      </w:r>
    </w:p>
    <w:p>
      <w:pPr>
        <w:pStyle w:val="Normal"/>
        <w:rPr/>
      </w:pPr>
      <w:r>
        <w:rPr/>
        <w:t xml:space="preserve">Effective Date: </w:t>
      </w:r>
      <w:r>
        <w:rPr/>
        <w:t>9-14-2026</w:t>
      </w:r>
    </w:p>
    <w:p>
      <w:pPr>
        <w:pStyle w:val="Normal"/>
        <w:rPr/>
      </w:pPr>
      <w:r>
        <w:rPr/>
        <w:t xml:space="preserve">Review Date: </w:t>
      </w:r>
      <w:r>
        <w:rPr/>
        <w:t>9-14-2027</w:t>
      </w:r>
    </w:p>
    <w:p>
      <w:pPr>
        <w:pStyle w:val="Normal"/>
        <w:rPr/>
      </w:pPr>
      <w:r>
        <w:rPr/>
        <w:t xml:space="preserve">Approved By: </w:t>
      </w:r>
      <w:r>
        <w:rPr/>
        <w:t>Luis Morales</w:t>
      </w:r>
    </w:p>
    <w:p>
      <w:pPr>
        <w:pStyle w:val="Normal"/>
        <w:rPr/>
      </w:pPr>
      <w:r>
        <w:rPr/>
        <w:t xml:space="preserve">Title: </w:t>
      </w:r>
      <w:r>
        <w:rPr/>
        <w:t>Complaince Manager</w:t>
      </w:r>
    </w:p>
    <w:p>
      <w:pPr>
        <w:pStyle w:val="Normal"/>
        <w:widowControl/>
        <w:bidi w:val="0"/>
        <w:spacing w:lineRule="auto" w:line="259" w:before="0" w:after="100"/>
        <w:jc w:val="start"/>
        <w:rPr/>
      </w:pPr>
      <w:r>
        <w:rPr>
          <w:b/>
        </w:rPr>
        <w:t>END OF PUBLIC POLICY</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37" w:right="1037" w:gutter="0" w:header="720" w:top="835" w:footer="720" w:bottom="8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swiss"/>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rial">
    <w:altName w:val="Helvetica"/>
    <w:charset w:val="01"/>
    <w:family w:val="swiss"/>
    <w:pitch w:val="variable"/>
  </w:font>
  <w:font w:name="Apto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Aptos" w:hAnsi="Aptos"/>
        <w:b w:val="false"/>
        <w:color w:val="777777"/>
        <w:sz w:val="16"/>
      </w:rPr>
      <w:t xml:space="preserve">CALIFORNIA ALPR COMPLIANCE  •  VERSION 1.0  •  PAGE </w:t>
    </w:r>
    <w:r>
      <w:rPr/>
      <w:fldChar w:fldCharType="begin"/>
    </w:r>
    <w:r>
      <w:rPr/>
      <w:instrText xml:space="preserve"> PAGE </w:instrText>
    </w:r>
    <w:r>
      <w:rPr/>
      <w:fldChar w:fldCharType="separate"/>
    </w:r>
    <w:r>
      <w:rPr/>
      <w:t>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Aptos" w:hAnsi="Aptos"/>
        <w:b w:val="false"/>
        <w:color w:val="777777"/>
        <w:sz w:val="16"/>
      </w:rPr>
      <w:t xml:space="preserve">CALIFORNIA ALPR COMPLIANCE  •  VERSION 1.0  •  PAGE </w:t>
    </w:r>
    <w:r>
      <w:rPr/>
      <w:fldChar w:fldCharType="begin"/>
    </w:r>
    <w:r>
      <w:rPr/>
      <w:instrText xml:space="preserve"> PAGE </w:instrText>
    </w:r>
    <w:r>
      <w:rPr/>
      <w:fldChar w:fldCharType="separate"/>
    </w:r>
    <w:r>
      <w:rPr/>
      <w:t>7</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16" w:space="5" w:color="6F0D0D"/>
      </w:pBdr>
      <w:jc w:val="center"/>
      <w:rPr/>
    </w:pPr>
    <w:r>
      <w:rPr>
        <w:rFonts w:ascii="Arial;Helvetica;sans-serif" w:hAnsi="Arial;Helvetica;sans-serif"/>
        <w:b/>
        <w:bCs/>
        <w:i w:val="false"/>
        <w:caps w:val="false"/>
        <w:smallCaps w:val="false"/>
        <w:color w:val="222222"/>
        <w:spacing w:val="0"/>
        <w:sz w:val="32"/>
        <w:szCs w:val="32"/>
      </w:rPr>
      <w:t>Lightning Recovery, Inc</w:t>
    </w:r>
    <w:r>
      <w:rPr>
        <w:rFonts w:ascii="Aptos" w:hAnsi="Aptos"/>
        <w:b/>
        <w:color w:val="777777"/>
        <w:sz w:val="17"/>
      </w:rPr>
      <w:br/>
    </w:r>
    <w:r>
      <w:rPr>
        <w:rFonts w:ascii="Arial;Helvetica;sans-serif" w:hAnsi="Arial;Helvetica;sans-serif"/>
        <w:b w:val="false"/>
        <w:i w:val="false"/>
        <w:caps w:val="false"/>
        <w:smallCaps w:val="false"/>
        <w:color w:val="000000"/>
        <w:spacing w:val="0"/>
        <w:sz w:val="24"/>
      </w:rPr>
      <w:t>5235 Mission Oaks Blvd</w:t>
    </w:r>
    <w:r>
      <w:rPr>
        <w:rFonts w:ascii="Aptos" w:hAnsi="Aptos"/>
        <w:b/>
        <w:caps w:val="false"/>
        <w:smallCaps w:val="false"/>
        <w:color w:val="000000"/>
        <w:spacing w:val="0"/>
        <w:sz w:val="17"/>
      </w:rPr>
      <w:t> </w:t>
    </w:r>
    <w:r>
      <w:rPr>
        <w:rFonts w:ascii="Arial;Helvetica;sans-serif" w:hAnsi="Arial;Helvetica;sans-serif"/>
        <w:b w:val="false"/>
        <w:i w:val="false"/>
        <w:caps w:val="false"/>
        <w:smallCaps w:val="false"/>
        <w:color w:val="000000"/>
        <w:spacing w:val="0"/>
        <w:sz w:val="24"/>
      </w:rPr>
      <w:t>#544</w:t>
    </w:r>
    <w:r>
      <w:rPr>
        <w:rFonts w:ascii="Aptos" w:hAnsi="Aptos"/>
        <w:b/>
        <w:color w:val="000000"/>
        <w:sz w:val="17"/>
      </w:rPr>
      <w:br/>
    </w:r>
    <w:r>
      <w:rPr>
        <w:rFonts w:ascii="Arial;Helvetica;sans-serif" w:hAnsi="Arial;Helvetica;sans-serif"/>
        <w:b w:val="false"/>
        <w:i w:val="false"/>
        <w:caps w:val="false"/>
        <w:smallCaps w:val="false"/>
        <w:color w:val="000000"/>
        <w:spacing w:val="0"/>
        <w:sz w:val="24"/>
      </w:rPr>
      <w:t>Camarillo, CA 93012</w:t>
    </w:r>
    <w:r>
      <w:rPr>
        <w:rFonts w:ascii="Aptos" w:hAnsi="Aptos"/>
        <w:b/>
        <w:color w:val="000000"/>
        <w:sz w:val="17"/>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16" w:space="5" w:color="6F0D0D"/>
      </w:pBdr>
      <w:jc w:val="center"/>
      <w:rPr/>
    </w:pPr>
    <w:r>
      <w:rPr>
        <w:rFonts w:ascii="Arial;Helvetica;sans-serif" w:hAnsi="Arial;Helvetica;sans-serif"/>
        <w:b/>
        <w:bCs/>
        <w:i w:val="false"/>
        <w:caps w:val="false"/>
        <w:smallCaps w:val="false"/>
        <w:color w:val="222222"/>
        <w:spacing w:val="0"/>
        <w:sz w:val="32"/>
        <w:szCs w:val="32"/>
      </w:rPr>
      <w:t>Lightning Recovery, Inc</w:t>
    </w:r>
    <w:r>
      <w:rPr>
        <w:rFonts w:ascii="Aptos" w:hAnsi="Aptos"/>
        <w:b/>
        <w:color w:val="777777"/>
        <w:sz w:val="17"/>
      </w:rPr>
      <w:br/>
    </w:r>
    <w:r>
      <w:rPr>
        <w:rFonts w:ascii="Arial;Helvetica;sans-serif" w:hAnsi="Arial;Helvetica;sans-serif"/>
        <w:b w:val="false"/>
        <w:i w:val="false"/>
        <w:caps w:val="false"/>
        <w:smallCaps w:val="false"/>
        <w:color w:val="000000"/>
        <w:spacing w:val="0"/>
        <w:sz w:val="24"/>
      </w:rPr>
      <w:t>5235 Mission Oaks Blvd</w:t>
    </w:r>
    <w:r>
      <w:rPr>
        <w:rFonts w:ascii="Aptos" w:hAnsi="Aptos"/>
        <w:b/>
        <w:caps w:val="false"/>
        <w:smallCaps w:val="false"/>
        <w:color w:val="000000"/>
        <w:spacing w:val="0"/>
        <w:sz w:val="17"/>
      </w:rPr>
      <w:t> </w:t>
    </w:r>
    <w:r>
      <w:rPr>
        <w:rFonts w:ascii="Arial;Helvetica;sans-serif" w:hAnsi="Arial;Helvetica;sans-serif"/>
        <w:b w:val="false"/>
        <w:i w:val="false"/>
        <w:caps w:val="false"/>
        <w:smallCaps w:val="false"/>
        <w:color w:val="000000"/>
        <w:spacing w:val="0"/>
        <w:sz w:val="24"/>
      </w:rPr>
      <w:t>#544</w:t>
    </w:r>
    <w:r>
      <w:rPr>
        <w:rFonts w:ascii="Aptos" w:hAnsi="Aptos"/>
        <w:b/>
        <w:color w:val="000000"/>
        <w:sz w:val="17"/>
      </w:rPr>
      <w:br/>
    </w:r>
    <w:r>
      <w:rPr>
        <w:rFonts w:ascii="Arial;Helvetica;sans-serif" w:hAnsi="Arial;Helvetica;sans-serif"/>
        <w:b w:val="false"/>
        <w:i w:val="false"/>
        <w:caps w:val="false"/>
        <w:smallCaps w:val="false"/>
        <w:color w:val="000000"/>
        <w:spacing w:val="0"/>
        <w:sz w:val="24"/>
      </w:rPr>
      <w:t>Camarillo, CA 93012</w:t>
    </w:r>
    <w:r>
      <w:rPr>
        <w:rFonts w:ascii="Aptos" w:hAnsi="Aptos"/>
        <w:b/>
        <w:color w:val="000000"/>
        <w:sz w:val="17"/>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9" w:before="0" w:after="100"/>
      <w:jc w:val="start"/>
    </w:pPr>
    <w:rPr>
      <w:rFonts w:ascii="Arial" w:hAnsi="Arial" w:eastAsia="ＭＳ 明朝" w:cs=""/>
      <w:color w:val="2D2D2D"/>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80" w:after="80"/>
      <w:outlineLvl w:val="0"/>
    </w:pPr>
    <w:rPr>
      <w:rFonts w:ascii="Calibri" w:hAnsi="Calibri" w:eastAsia="" w:cs="" w:asciiTheme="majorHAnsi" w:cstheme="majorBidi" w:eastAsiaTheme="majorEastAsia" w:hAnsiTheme="majorHAnsi"/>
      <w:b/>
      <w:bCs/>
      <w:color w:val="6F0D0D"/>
      <w:sz w:val="26"/>
      <w:szCs w:val="28"/>
    </w:rPr>
  </w:style>
  <w:style w:type="paragraph" w:styleId="Heading2">
    <w:name w:val="heading 2"/>
    <w:basedOn w:val="Normal"/>
    <w:next w:val="Normal"/>
    <w:link w:val="Heading2Char"/>
    <w:uiPriority w:val="9"/>
    <w:unhideWhenUsed/>
    <w:qFormat/>
    <w:rsid w:val="00fc693f"/>
    <w:pPr>
      <w:keepNext w:val="true"/>
      <w:keepLines/>
      <w:spacing w:before="180" w:after="80"/>
      <w:outlineLvl w:val="1"/>
    </w:pPr>
    <w:rPr>
      <w:rFonts w:ascii="Calibri" w:hAnsi="Calibri" w:eastAsia="" w:cs="" w:asciiTheme="majorHAnsi" w:cstheme="majorBidi" w:eastAsiaTheme="majorEastAsia" w:hAnsiTheme="majorHAnsi"/>
      <w:b/>
      <w:bCs/>
      <w:color w:val="6F0D0D"/>
      <w:sz w:val="22"/>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6F0D0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lineRule="auto" w:line="259" w:before="0" w:after="100"/>
    </w:pPr>
    <w:rPr>
      <w:rFonts w:ascii="Arial" w:hAnsi="Arial"/>
      <w:color w:val="2D2D2D"/>
      <w:sz w:val="20"/>
    </w:rPr>
  </w:style>
  <w:style w:type="paragraph" w:styleId="List">
    <w:name w:val="List"/>
    <w:basedOn w:val="Normal"/>
    <w:uiPriority w:val="99"/>
    <w:unhideWhenUsed/>
    <w:rsid w:val="00aa1d8d"/>
    <w:pPr>
      <w:spacing w:before="0" w:after="1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160"/>
      <w:contextualSpacing/>
    </w:pPr>
    <w:rPr>
      <w:rFonts w:ascii="Calibri" w:hAnsi="Calibri" w:eastAsia="" w:cs="" w:asciiTheme="majorHAnsi" w:cstheme="majorBidi" w:eastAsiaTheme="majorEastAsia" w:hAnsiTheme="majorHAnsi"/>
      <w:b/>
      <w:color w:val="6F0D0D"/>
      <w:spacing w:val="5"/>
      <w:kern w:val="2"/>
      <w:sz w:val="46"/>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start="720"/>
      <w:contextualSpacing/>
    </w:pPr>
    <w:rPr/>
  </w:style>
  <w:style w:type="paragraph" w:styleId="List3">
    <w:name w:val="List 3"/>
    <w:basedOn w:val="Normal"/>
    <w:uiPriority w:val="99"/>
    <w:unhideWhenUsed/>
    <w:qFormat/>
    <w:rsid w:val="00326f90"/>
    <w:pPr>
      <w:spacing w:before="0" w:after="100"/>
      <w:ind w:hanging="360" w:star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Contents">
    <w:name w:val="Table Contents"/>
    <w:basedOn w:val="Normal"/>
    <w:pPr>
      <w:widowControl w:val="false"/>
      <w:suppressLineNumbers/>
    </w:pPr>
    <w:rPr/>
  </w:style>
  <w:style w:type="paragraph" w:styleId="TableHeading">
    <w:name w:val="Table Heading"/>
    <w:basedOn w:val="TableContents"/>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TotalTime>
  <Application>LibreOffice/26.8.0.3$Windows_X86_64 LibreOffice_project/bce0998afefdbc355585ca324285661a2170ba77</Application>
  <AppVersion>15.0000</AppVersion>
  <Pages>7</Pages>
  <Words>2512</Words>
  <Characters>16077</Characters>
  <CharactersWithSpaces>18402</CharactersWithSpaces>
  <Paragraphs>170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2026-09-06T00:00:00Z</dcterms:created>
  <dc:creator>Dave Branch</dc:creator>
  <dc:description/>
  <dc:language>en-US</dc:language>
  <cp:lastModifiedBy/>
  <dcterms:modified xsi:type="dcterms:W3CDTF">2026-09-13T12:40:40Z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